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12224A" w:rsidRDefault="0012224A" w:rsidP="00596C7E">
            <w:pPr>
              <w:rPr>
                <w:rStyle w:val="Potovnadresa"/>
                <w:b/>
              </w:rPr>
            </w:pPr>
            <w:r w:rsidRPr="0012224A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C7F99" w:rsidP="0037111D">
            <w:r w:rsidRPr="00CC7F99">
              <w:rPr>
                <w:rFonts w:ascii="Helvetica" w:hAnsi="Helvetica"/>
              </w:rPr>
              <w:t>8740/2022-SŽ-SSV-Ú3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E73E55" w:rsidRDefault="00F862D6" w:rsidP="0077673A">
            <w:r w:rsidRPr="00E73E55">
              <w:t>Listů/příloh</w:t>
            </w:r>
          </w:p>
        </w:tc>
        <w:tc>
          <w:tcPr>
            <w:tcW w:w="2552" w:type="dxa"/>
          </w:tcPr>
          <w:p w:rsidR="00F862D6" w:rsidRPr="00E73E55" w:rsidRDefault="00E73E55" w:rsidP="00CC1E2B">
            <w:r w:rsidRPr="00E73E55">
              <w:t>4</w:t>
            </w:r>
            <w:r w:rsidR="003E6B9A" w:rsidRPr="00E73E55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12224A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12224A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1B25E7" w:rsidP="006104F6">
            <w:hyperlink r:id="rId11" w:history="1">
              <w:r w:rsidR="0012224A" w:rsidRPr="006404BB">
                <w:rPr>
                  <w:rStyle w:val="Hypertextovodkaz"/>
                </w:rPr>
                <w:t>Prerovska@spravazeleznic.cz</w:t>
              </w:r>
            </w:hyperlink>
            <w:r w:rsidR="0012224A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C7F99">
              <w:rPr>
                <w:noProof/>
              </w:rPr>
              <w:t>9.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12224A" w:rsidRDefault="00CB7B5A" w:rsidP="001222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2224A">
        <w:rPr>
          <w:rFonts w:eastAsia="Calibri" w:cs="Times New Roman"/>
          <w:b/>
          <w:lang w:eastAsia="cs-CZ"/>
        </w:rPr>
        <w:t>Rekonstrukce výpravní budovy v </w:t>
      </w:r>
      <w:proofErr w:type="spellStart"/>
      <w:r w:rsidR="0012224A">
        <w:rPr>
          <w:rFonts w:eastAsia="Calibri" w:cs="Times New Roman"/>
          <w:b/>
          <w:lang w:eastAsia="cs-CZ"/>
        </w:rPr>
        <w:t>žst</w:t>
      </w:r>
      <w:proofErr w:type="spellEnd"/>
      <w:r w:rsidR="0012224A">
        <w:rPr>
          <w:rFonts w:eastAsia="Calibri" w:cs="Times New Roman"/>
          <w:b/>
          <w:lang w:eastAsia="cs-CZ"/>
        </w:rPr>
        <w:t>. Sokolnice Telnice</w:t>
      </w:r>
    </w:p>
    <w:p w:rsidR="0012224A" w:rsidRDefault="0012224A" w:rsidP="0012224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12224A" w:rsidP="0012224A">
      <w:pPr>
        <w:spacing w:after="0" w:line="240" w:lineRule="auto"/>
        <w:rPr>
          <w:rFonts w:eastAsia="Times New Roman" w:cs="Times New Roman"/>
          <w:lang w:eastAsia="cs-CZ"/>
        </w:rPr>
      </w:pPr>
      <w:r w:rsidRPr="002367F0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C7F99">
        <w:rPr>
          <w:rFonts w:eastAsia="Times New Roman" w:cs="Times New Roman"/>
          <w:lang w:eastAsia="cs-CZ"/>
        </w:rPr>
        <w:t>3</w:t>
      </w:r>
    </w:p>
    <w:p w:rsidR="0012224A" w:rsidRPr="00CB7B5A" w:rsidRDefault="0012224A" w:rsidP="0012224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12224A">
        <w:rPr>
          <w:rFonts w:eastAsia="Calibri" w:cs="Times New Roman"/>
          <w:b/>
          <w:lang w:eastAsia="cs-CZ"/>
        </w:rPr>
        <w:t>otaz č. 26</w:t>
      </w:r>
      <w:r w:rsidRPr="00CB7B5A">
        <w:rPr>
          <w:rFonts w:eastAsia="Calibri" w:cs="Times New Roman"/>
          <w:b/>
          <w:lang w:eastAsia="cs-CZ"/>
        </w:rPr>
        <w:t>:</w:t>
      </w:r>
    </w:p>
    <w:p w:rsidR="0012224A" w:rsidRDefault="0012224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2224A" w:rsidRDefault="0012224A" w:rsidP="0012224A">
      <w:r>
        <w:t>V Obchodních podmínkách, které jsou přílohou č. 1 smlouvy o dílo, v článku 12.2 je stanoveno následující:</w:t>
      </w:r>
    </w:p>
    <w:p w:rsidR="0012224A" w:rsidRDefault="0012224A" w:rsidP="003D6B3F">
      <w:pPr>
        <w:pStyle w:val="Bezmezer"/>
        <w:spacing w:line="240" w:lineRule="auto"/>
        <w:ind w:left="567" w:hanging="709"/>
        <w:jc w:val="both"/>
        <w:rPr>
          <w:i/>
          <w:iCs/>
        </w:rPr>
      </w:pPr>
      <w:r w:rsidRPr="00560ED6">
        <w:rPr>
          <w:i/>
          <w:iCs/>
        </w:rPr>
        <w:t>12.2</w:t>
      </w:r>
      <w:r w:rsidRPr="00560ED6">
        <w:rPr>
          <w:i/>
          <w:iCs/>
        </w:rPr>
        <w:tab/>
        <w:t xml:space="preserve">Zhotovitel potvrzuje, že je schopen zrealizovat předmět Veřejné zakázky za cenu uvedenou v odst. 3.3 Smlouvy a v příloze č. 4 Smlouvy, a to v plném rozsahu a potvrzuje, že cena uvedená v odst. 3.3 Smlouvy a v příloze č. 4 Smlouvy je cenou konečnou a nepřekročitelnou a zahrnuje veškeré práce nezbytné pro řádné dokončení a předání Díla, přičemž může být měněna výhradně: </w:t>
      </w:r>
    </w:p>
    <w:p w:rsidR="0012224A" w:rsidRPr="00747692" w:rsidRDefault="0012224A" w:rsidP="0012224A">
      <w:pPr>
        <w:pStyle w:val="Bezmezer"/>
        <w:spacing w:line="360" w:lineRule="auto"/>
        <w:ind w:left="567" w:hanging="709"/>
        <w:jc w:val="both"/>
        <w:rPr>
          <w:i/>
          <w:iCs/>
        </w:rPr>
      </w:pPr>
    </w:p>
    <w:p w:rsidR="0012224A" w:rsidRPr="00747692" w:rsidRDefault="0012224A" w:rsidP="003D6B3F">
      <w:pPr>
        <w:pStyle w:val="Bezmezer"/>
        <w:spacing w:line="240" w:lineRule="auto"/>
        <w:ind w:left="851" w:hanging="851"/>
        <w:jc w:val="both"/>
        <w:rPr>
          <w:i/>
          <w:iCs/>
        </w:rPr>
      </w:pPr>
      <w:r w:rsidRPr="00747692">
        <w:rPr>
          <w:i/>
          <w:iCs/>
        </w:rPr>
        <w:t xml:space="preserve">12.2.1 </w:t>
      </w:r>
      <w:r w:rsidRPr="00747692">
        <w:rPr>
          <w:i/>
          <w:iCs/>
        </w:rPr>
        <w:tab/>
        <w:t xml:space="preserve">v případě změny výše nebo způsobu platby zákonem stanovené daně z přidané hodnoty (DPH), přičemž v takovém případě se Cena Díla upraví způsobem odpovídajícím změně výše nebo způsobu odvodu DPH,  </w:t>
      </w:r>
    </w:p>
    <w:p w:rsidR="0012224A" w:rsidRPr="00560ED6" w:rsidRDefault="0012224A" w:rsidP="003D6B3F">
      <w:pPr>
        <w:pStyle w:val="Bezmezer"/>
        <w:spacing w:line="240" w:lineRule="auto"/>
        <w:jc w:val="both"/>
        <w:rPr>
          <w:i/>
          <w:iCs/>
          <w:lang w:val="pl-PL"/>
        </w:rPr>
      </w:pPr>
      <w:r w:rsidRPr="00560ED6">
        <w:rPr>
          <w:i/>
          <w:iCs/>
          <w:lang w:val="pl-PL"/>
        </w:rPr>
        <w:t xml:space="preserve">12.2.2 </w:t>
      </w:r>
      <w:r w:rsidRPr="00560ED6">
        <w:rPr>
          <w:i/>
          <w:iCs/>
          <w:lang w:val="pl-PL"/>
        </w:rPr>
        <w:tab/>
        <w:t xml:space="preserve">   na základě písemné dohody stran.</w:t>
      </w:r>
    </w:p>
    <w:p w:rsidR="0012224A" w:rsidRDefault="0012224A" w:rsidP="0012224A">
      <w:pPr>
        <w:pStyle w:val="Bezmezer"/>
        <w:ind w:left="142"/>
        <w:rPr>
          <w:lang w:val="pl-PL"/>
        </w:rPr>
      </w:pPr>
    </w:p>
    <w:p w:rsidR="0012224A" w:rsidRPr="005A56F8" w:rsidRDefault="0012224A" w:rsidP="0012224A">
      <w:pPr>
        <w:pStyle w:val="Bezmezer"/>
        <w:ind w:left="142"/>
        <w:rPr>
          <w:lang w:val="pl-PL"/>
        </w:rPr>
      </w:pPr>
    </w:p>
    <w:p w:rsidR="0012224A" w:rsidRDefault="0012224A" w:rsidP="003D6B3F">
      <w:pPr>
        <w:spacing w:line="240" w:lineRule="auto"/>
        <w:jc w:val="both"/>
        <w:rPr>
          <w:lang w:val="pl-PL"/>
        </w:rPr>
      </w:pPr>
      <w:r>
        <w:rPr>
          <w:lang w:val="pl-PL"/>
        </w:rPr>
        <w:t xml:space="preserve">V reakci na výše uvedené ustanovení obchodních podmínek, které jsou součástí smlouvy o dílo, Vás žádáme o sdělení z jakého důvodu zadavatel neuvažuje o zahrnutí inflační/cenové doložky, resp. mechanismu, který by zohlednil případný vliv vývoje nákladů spojených s realizací </w:t>
      </w:r>
      <w:r w:rsidRPr="0020461D">
        <w:rPr>
          <w:lang w:val="pl-PL"/>
        </w:rPr>
        <w:t>díla na jeho cenu, do smluvní dokumentace, a to s ohledem na předpokládanou hodnotu veřejné zakázky 52.368.107,- Kč bez DPH a dobu realizace 22 měsíců ode dne zahájení prací. Zahrnutí inflační nebo cenové</w:t>
      </w:r>
      <w:r>
        <w:rPr>
          <w:lang w:val="pl-PL"/>
        </w:rPr>
        <w:t xml:space="preserve"> doložky považujeme za stěžejní a to nejen pro naši účast v zadávacím řízení.</w:t>
      </w:r>
    </w:p>
    <w:p w:rsidR="0012224A" w:rsidRDefault="0012224A" w:rsidP="003D6B3F">
      <w:pPr>
        <w:spacing w:line="240" w:lineRule="auto"/>
        <w:jc w:val="both"/>
        <w:rPr>
          <w:lang w:val="pl-PL"/>
        </w:rPr>
      </w:pPr>
      <w:r w:rsidRPr="00272ED3">
        <w:rPr>
          <w:lang w:val="pl-PL"/>
        </w:rPr>
        <w:t>Dále si dovolujeme uvést důvody pro které</w:t>
      </w:r>
      <w:r>
        <w:rPr>
          <w:lang w:val="pl-PL"/>
        </w:rPr>
        <w:t xml:space="preserve"> by měly zadavací podmínky, resp. smluvní dokumentace, inflační či cenovou doložku obsahovat.</w:t>
      </w:r>
    </w:p>
    <w:p w:rsidR="0012224A" w:rsidRPr="00A37F87" w:rsidRDefault="0012224A" w:rsidP="0012224A">
      <w:pPr>
        <w:pStyle w:val="Odstavecseseznamem"/>
        <w:numPr>
          <w:ilvl w:val="0"/>
          <w:numId w:val="7"/>
        </w:numPr>
        <w:spacing w:after="160" w:line="360" w:lineRule="auto"/>
        <w:ind w:left="284" w:hanging="284"/>
        <w:jc w:val="both"/>
        <w:rPr>
          <w:b/>
          <w:bCs/>
        </w:rPr>
      </w:pPr>
      <w:r w:rsidRPr="00A37F87">
        <w:rPr>
          <w:b/>
          <w:bCs/>
        </w:rPr>
        <w:t xml:space="preserve">Obvyklost a přiměřenost </w:t>
      </w:r>
    </w:p>
    <w:p w:rsidR="0012224A" w:rsidRPr="00272ED3" w:rsidRDefault="0012224A" w:rsidP="003D6B3F">
      <w:pPr>
        <w:spacing w:line="240" w:lineRule="auto"/>
        <w:jc w:val="both"/>
      </w:pPr>
      <w:r w:rsidRPr="00272ED3">
        <w:t xml:space="preserve">Smluvní úprava mechanismu zohledňujícího případný vývoj inflace či vstupních cen nákladů je u veřejných zakázek obdobného objemu běžnou praxí, a to právě za účelem vyvážení vztahů (rizik) mezi zhotovitelem a objednatelem. </w:t>
      </w:r>
    </w:p>
    <w:p w:rsidR="0012224A" w:rsidRDefault="0012224A" w:rsidP="003D6B3F">
      <w:pPr>
        <w:spacing w:line="240" w:lineRule="auto"/>
        <w:jc w:val="both"/>
      </w:pPr>
      <w:r w:rsidRPr="00272ED3">
        <w:t xml:space="preserve">Pokud u zakázky tohoto typu zadávací dokumentace neobsahuje obdobné pravidlo, odporuje zadávací dokumentace zásadě přiměřenost a nepřiměřeným přenosem rizika na zhotovitele zcela vybočuje z pravidel sociálně odpovědného zadávání. </w:t>
      </w:r>
    </w:p>
    <w:p w:rsidR="00BE2B1D" w:rsidRDefault="00BE2B1D" w:rsidP="003D6B3F">
      <w:pPr>
        <w:spacing w:line="240" w:lineRule="auto"/>
        <w:jc w:val="both"/>
      </w:pPr>
    </w:p>
    <w:p w:rsidR="00BE2B1D" w:rsidRDefault="00BE2B1D" w:rsidP="003D6B3F">
      <w:pPr>
        <w:spacing w:line="240" w:lineRule="auto"/>
        <w:jc w:val="both"/>
      </w:pPr>
    </w:p>
    <w:p w:rsidR="0012224A" w:rsidRPr="00A37F87" w:rsidRDefault="0012224A" w:rsidP="0012224A">
      <w:pPr>
        <w:pStyle w:val="Odstavecseseznamem"/>
        <w:numPr>
          <w:ilvl w:val="0"/>
          <w:numId w:val="7"/>
        </w:numPr>
        <w:spacing w:after="160" w:line="360" w:lineRule="auto"/>
        <w:ind w:left="284" w:hanging="284"/>
        <w:jc w:val="both"/>
        <w:rPr>
          <w:b/>
          <w:bCs/>
        </w:rPr>
      </w:pPr>
      <w:r w:rsidRPr="00A37F87">
        <w:rPr>
          <w:b/>
          <w:bCs/>
        </w:rPr>
        <w:lastRenderedPageBreak/>
        <w:t xml:space="preserve">Nepředvídatelný vývoj trhu a nesrovnatelnost nabídek </w:t>
      </w:r>
    </w:p>
    <w:p w:rsidR="0012224A" w:rsidRPr="00272ED3" w:rsidRDefault="0012224A" w:rsidP="003D6B3F">
      <w:pPr>
        <w:spacing w:line="240" w:lineRule="auto"/>
        <w:jc w:val="both"/>
      </w:pPr>
      <w:r w:rsidRPr="00272ED3">
        <w:t xml:space="preserve">V průběhu roku 2021 došlo k neočekávanému a skokovému nárůstu cen stavebního materiálu, prací a dodávek. Ani k dnešnímu dni nelze říci, že by se ceny na stavebním trhu ustálily, zřejmě dojde k jejich dalšímu vývoji (zvýšení či snížení). </w:t>
      </w:r>
    </w:p>
    <w:p w:rsidR="0012224A" w:rsidRPr="00272ED3" w:rsidRDefault="0012224A" w:rsidP="003D6B3F">
      <w:pPr>
        <w:spacing w:line="240" w:lineRule="auto"/>
        <w:jc w:val="both"/>
      </w:pPr>
      <w:r w:rsidRPr="00272ED3">
        <w:t xml:space="preserve">V současné situaci je nemožné přesně či alespoň přibližně určit, zda a jakým způsobem se bude cena vstupních nákladů vyvíjet. Nicméně vzhledem k tomu, že předpokládaná hodnota veřejné zakázky činí </w:t>
      </w:r>
      <w:r w:rsidRPr="0020461D">
        <w:t>52.368.107,- Kč</w:t>
      </w:r>
      <w:r w:rsidRPr="00272ED3">
        <w:t xml:space="preserve"> bez DPH představuje jakýkoliv</w:t>
      </w:r>
      <w:r>
        <w:t xml:space="preserve"> </w:t>
      </w:r>
      <w:r w:rsidRPr="00272ED3">
        <w:t>procentuální</w:t>
      </w:r>
      <w:r>
        <w:t xml:space="preserve"> </w:t>
      </w:r>
      <w:r w:rsidRPr="00272ED3">
        <w:t xml:space="preserve">nárůst cen vstupních materiálů, prací a dodávek podstatný vliv na celkovou výši nákladů nutných pro realizaci veřejné zakázky. </w:t>
      </w:r>
    </w:p>
    <w:p w:rsidR="0012224A" w:rsidRPr="00272ED3" w:rsidRDefault="0012224A" w:rsidP="003D6B3F">
      <w:pPr>
        <w:spacing w:line="240" w:lineRule="auto"/>
        <w:jc w:val="both"/>
      </w:pPr>
      <w:r w:rsidRPr="00272ED3">
        <w:t xml:space="preserve">V případě absence smluvního mechanismu, který by zohlednil případný vývoj vstupních cen nákladů na realizaci zakázky, jsou účastníci nuceni při kalkulaci svých cenových nabídek případným rizikům spojených s vývojem vstupních nákladů předcházet vytvořením různě vysoké „rozpočtové rezervy“, která se promítne na výsledné nabídkové ceně. </w:t>
      </w:r>
    </w:p>
    <w:p w:rsidR="0012224A" w:rsidRPr="00272ED3" w:rsidRDefault="0012224A" w:rsidP="003D6B3F">
      <w:pPr>
        <w:spacing w:line="240" w:lineRule="auto"/>
        <w:jc w:val="both"/>
      </w:pPr>
      <w:r w:rsidRPr="00272ED3">
        <w:t xml:space="preserve">Vzhledem ke skutečnosti, že se stavební trh nachází v turbulentní době a vývoj cen stavebního materiálu, prací a dodávek nelze predikovat, zda taková „rozpočtová rezerva“ bude odpovídat následné skutečnosti. </w:t>
      </w:r>
    </w:p>
    <w:p w:rsidR="0012224A" w:rsidRPr="00272ED3" w:rsidRDefault="0012224A" w:rsidP="00CC7F99">
      <w:pPr>
        <w:spacing w:line="240" w:lineRule="auto"/>
        <w:jc w:val="both"/>
      </w:pPr>
      <w:r w:rsidRPr="00272ED3">
        <w:t xml:space="preserve">Vytvořená „rozpočtová rezerva“ tak ve výsledku může zcela zbytečně prodražit realizaci veřejné zakázky, neboť účastníci mohou ve svých nabídkách kalkulovat s mnohem vyšším rizikem, než které ve skutečnosti nastane, či naopak může být nedostatečná. Úspěšný uchazeč s nízkou rezervou se pak může úspěšně domáhat zvýšení </w:t>
      </w:r>
      <w:r>
        <w:t>ceny</w:t>
      </w:r>
      <w:r w:rsidRPr="00272ED3">
        <w:t xml:space="preserve">, což zdraží realizaci zakázky i nad úroveň uchazeče, který měl v cenové nabídce „rozpočtovou rezervu“ dostačující. Řízení rizika spojeného s vývojem vstupních nákladů prostřednictvím „rozpočtové rezervy“ je tak nežádoucí jak pro účastníky, neboť takový postup snižuje šance na získání zakázky, tak i pro zadavatele, neboť omezuje konkurenční prostředí mezi účastníky (namísto toho, aby nutilo účastníky ve snaze získat veřejnou zakázku k předkládání nejnižších nabídkových cen, nutí účastníky své nabídky nadceňovat) a zadavatel získává nesrovnatelné či předražené nabídky. </w:t>
      </w:r>
    </w:p>
    <w:p w:rsidR="0012224A" w:rsidRPr="00272ED3" w:rsidRDefault="0012224A" w:rsidP="00CC7F99">
      <w:pPr>
        <w:spacing w:line="240" w:lineRule="auto"/>
        <w:jc w:val="both"/>
      </w:pPr>
      <w:r w:rsidRPr="00272ED3">
        <w:t xml:space="preserve">Absence mechanismu, který by zohlednil případný vývoj nákladů spojených s realizací díla, tak u zakázky takového objemu a rozsahu vede ve svém důsledku k nadceňování překládaných nabídek a představuje tak rozpor i se zásadou hospodárnosti. Vytváření rozpočtové rezervy v případě této zakázky rovněž vede k předkládání vzájemně neporovnatelných nabídek, neboť každý z účastníků bude k hrozícímu riziku přistupovat odlišným způsobem (ať už v rámci zadávacího řízení, či až v rámci smluvního vztahu kdy dané okolnosti nastanou). </w:t>
      </w:r>
    </w:p>
    <w:p w:rsidR="0012224A" w:rsidRPr="00272ED3" w:rsidRDefault="0012224A" w:rsidP="00CC7F99">
      <w:pPr>
        <w:spacing w:line="240" w:lineRule="auto"/>
        <w:jc w:val="both"/>
      </w:pPr>
      <w:r w:rsidRPr="00272ED3">
        <w:t xml:space="preserve">Jak bylo uvedeno výše, v současné situaci není možné přesně určit, zda a jakým způsobem se bude cena vstupních nákladů vyvíjet. Při tvorbě cenové nabídky, resp. rozpočtové rezervy, lze vycházet z aktuální / predikované výše inflace, která se na nárůstu vstupních nákladů však podílí pouze zlomkově. S ohledem na objem předmětné zakázky je však i vliv výše inflace na cenu zakázky nezanedbatelný. </w:t>
      </w:r>
    </w:p>
    <w:p w:rsidR="0012224A" w:rsidRPr="0020461D" w:rsidRDefault="0012224A" w:rsidP="00CC7F99">
      <w:pPr>
        <w:spacing w:line="240" w:lineRule="auto"/>
        <w:jc w:val="both"/>
      </w:pPr>
      <w:r w:rsidRPr="00272ED3">
        <w:t xml:space="preserve">Průměrná roční inflace za rok 2021 činila 3,8 %. S ohledem na meziroční inflaci za měsíc </w:t>
      </w:r>
      <w:r>
        <w:t>duben</w:t>
      </w:r>
      <w:r w:rsidRPr="00272ED3">
        <w:t xml:space="preserve">, která činí </w:t>
      </w:r>
      <w:r>
        <w:t>14</w:t>
      </w:r>
      <w:r w:rsidRPr="00272ED3">
        <w:t>,</w:t>
      </w:r>
      <w:r>
        <w:t>2</w:t>
      </w:r>
      <w:r w:rsidRPr="00272ED3">
        <w:t xml:space="preserve"> %, lze předpokládat, že v roce 2022 </w:t>
      </w:r>
      <w:r w:rsidRPr="0020461D">
        <w:t>bude průměrná roční inflace obdobná či vyšší (Česká národní banka predikuje inflaci pro rok 2022 ve výši 13,1 %). Pouze z důvodu inflace tak dojde k navýšení nákladů na realizaci zakázky v rozpětí cca 6,8 mil. Kč bez DPH ročně.</w:t>
      </w:r>
    </w:p>
    <w:p w:rsidR="0012224A" w:rsidRPr="00272ED3" w:rsidRDefault="0012224A" w:rsidP="00CC7F99">
      <w:pPr>
        <w:spacing w:line="240" w:lineRule="auto"/>
        <w:jc w:val="both"/>
      </w:pPr>
      <w:r w:rsidRPr="0020461D">
        <w:t>S ohledem na plánovanou dobu realizace 22 měsíců představuje nárůst nákladů pouze o inflaci až cca   10 mil. Kč bez DPH, to však pouze za předpokladu, že nedojde</w:t>
      </w:r>
      <w:r>
        <w:t xml:space="preserve"> k prodloužení doby realizace </w:t>
      </w:r>
      <w:r w:rsidRPr="00272ED3">
        <w:t>zakázky</w:t>
      </w:r>
      <w:r>
        <w:t xml:space="preserve"> v souladu se smlouvou</w:t>
      </w:r>
      <w:r w:rsidRPr="00272ED3">
        <w:t xml:space="preserve">. </w:t>
      </w:r>
    </w:p>
    <w:p w:rsidR="0012224A" w:rsidRPr="00272ED3" w:rsidRDefault="0012224A" w:rsidP="00CC7F99">
      <w:pPr>
        <w:spacing w:line="240" w:lineRule="auto"/>
        <w:jc w:val="both"/>
      </w:pPr>
      <w:r w:rsidRPr="00272ED3">
        <w:t xml:space="preserve">Výše uvedené navýšení celkových nákladů na realizaci zakázky však počítá pouze s inflací, </w:t>
      </w:r>
      <w:r>
        <w:t>určené dle aktuální predikce inflace České národní banky na rok 2022</w:t>
      </w:r>
      <w:r w:rsidRPr="00272ED3">
        <w:t xml:space="preserve">. Vývoj cen stavebních komodit v průběhu roku 2021 však ukázal, že nárůst cen jednotlivých stavebních komodit se může pohybovat v řádech desítek až stovek procent. </w:t>
      </w:r>
    </w:p>
    <w:p w:rsidR="0012224A" w:rsidRDefault="0012224A" w:rsidP="00CC7F99">
      <w:pPr>
        <w:spacing w:line="240" w:lineRule="auto"/>
        <w:jc w:val="both"/>
      </w:pPr>
      <w:r w:rsidRPr="00272ED3">
        <w:t xml:space="preserve">Různý přístup uchazečů k výše uvedenému ve svém důsledku znamená obdržení neporovnatelných nabídek a rovněž riziko zadavatele, že k prodražení zakázky dojde i při realizaci. </w:t>
      </w:r>
    </w:p>
    <w:p w:rsidR="0012224A" w:rsidRPr="00A37F87" w:rsidRDefault="0012224A" w:rsidP="0012224A">
      <w:pPr>
        <w:pStyle w:val="Odstavecseseznamem"/>
        <w:numPr>
          <w:ilvl w:val="0"/>
          <w:numId w:val="7"/>
        </w:numPr>
        <w:spacing w:after="160" w:line="360" w:lineRule="auto"/>
        <w:ind w:left="284" w:hanging="284"/>
        <w:jc w:val="both"/>
        <w:rPr>
          <w:b/>
          <w:bCs/>
        </w:rPr>
      </w:pPr>
      <w:r w:rsidRPr="00A37F87">
        <w:rPr>
          <w:b/>
          <w:bCs/>
        </w:rPr>
        <w:lastRenderedPageBreak/>
        <w:t xml:space="preserve">Limitace změn </w:t>
      </w:r>
    </w:p>
    <w:p w:rsidR="00BE2B1D" w:rsidRPr="00272ED3" w:rsidRDefault="0012224A" w:rsidP="00CC7F99">
      <w:pPr>
        <w:spacing w:line="240" w:lineRule="auto"/>
        <w:jc w:val="both"/>
      </w:pPr>
      <w:r w:rsidRPr="00272ED3">
        <w:t xml:space="preserve">Jak bylo uvedeno výše, jakýkoli, byť sebemenší, procentní nárůst vstupních nákladů na realizaci veřejné zakázky představuje při absenci předmětné smluvní úpravy pro účastníky zadávacího řízení obrovské riziko. Zákonná úprava v ZZVZ a Společné stanovisko Ministerstva pro místní rozvoj a Úřadu pro ochranu hospodářské soutěže k problematice nárůstu cen stavebních materiálů sice výslovně umožňuje navýšení ceny, avšak současně připouští úpravu ceny v případě, že nejde o postup dle smluvního ujednání „pouze“ o 15 % z ceny zakázky. Do tohoto limitu se však počítá hodnota veškerých změn „de </w:t>
      </w:r>
      <w:proofErr w:type="spellStart"/>
      <w:r w:rsidRPr="00272ED3">
        <w:t>minimis</w:t>
      </w:r>
      <w:proofErr w:type="spellEnd"/>
      <w:r w:rsidRPr="00272ED3">
        <w:t xml:space="preserve">“. Účastníkům, resp. zhotoviteli, tak hrozí, že jakékoli navýšení nákladů nad tuto hranici ponesou výhradně sami, neboť zadavatel bez dalšího nemůže sám z vlastní vůle v průběhu realizace zakázky navýšit sjednanou cenu díla nad výše uvedený limit. Současně pak může být zadavatel sám omezován ve změnách, které mu ZZVZ jinak běžně umožňuje. </w:t>
      </w:r>
    </w:p>
    <w:p w:rsidR="0012224A" w:rsidRPr="00A37F87" w:rsidRDefault="0012224A" w:rsidP="0012224A">
      <w:pPr>
        <w:pStyle w:val="Odstavecseseznamem"/>
        <w:numPr>
          <w:ilvl w:val="0"/>
          <w:numId w:val="7"/>
        </w:numPr>
        <w:spacing w:after="160" w:line="360" w:lineRule="auto"/>
        <w:ind w:left="284" w:hanging="284"/>
        <w:jc w:val="both"/>
        <w:rPr>
          <w:b/>
          <w:bCs/>
        </w:rPr>
      </w:pPr>
      <w:r w:rsidRPr="00A37F87">
        <w:rPr>
          <w:b/>
          <w:bCs/>
        </w:rPr>
        <w:t xml:space="preserve">Vliv na ne/možnost uchazečů podat nabídku </w:t>
      </w:r>
    </w:p>
    <w:p w:rsidR="0012224A" w:rsidRPr="00272ED3" w:rsidRDefault="0012224A" w:rsidP="00CC7F99">
      <w:pPr>
        <w:spacing w:line="240" w:lineRule="auto"/>
        <w:jc w:val="both"/>
      </w:pPr>
      <w:r w:rsidRPr="00272ED3">
        <w:t xml:space="preserve">Případná rizika nemohou uchazeči přenést ani na případné poddodavatele (např. zafixováním cenových nabídek) neboť s ohledem na předmět a obsah předmětné veřejné zakázky je okruh dostatečně kvalifikovaných a kapacitně schopných poddodavatelů konkrétních specializovaných částí zakázky značně omezen a tito, vědomi si svého výhradního postavení, nemají důvod takové riziko přebírat. </w:t>
      </w:r>
    </w:p>
    <w:p w:rsidR="0012224A" w:rsidRPr="00272ED3" w:rsidRDefault="0012224A" w:rsidP="00CC7F99">
      <w:pPr>
        <w:spacing w:line="240" w:lineRule="auto"/>
        <w:jc w:val="both"/>
      </w:pPr>
      <w:r w:rsidRPr="00272ED3">
        <w:t xml:space="preserve">Za takové situace je otázkou, zda uchazeči, resp. jejich statutární orgány, vůbec mohou do zadávacího řízení podat nabídku a o získání této veřejné zakázky se tak vůbec ucházet, neboť by tím mohli odpovídat za porušení povinnosti jednat s péčí řádného hospodáře dle </w:t>
      </w:r>
      <w:proofErr w:type="spellStart"/>
      <w:r w:rsidRPr="00272ED3">
        <w:t>ust</w:t>
      </w:r>
      <w:proofErr w:type="spellEnd"/>
      <w:r w:rsidRPr="00272ED3">
        <w:t xml:space="preserve">. § 51 odst. 1 zákona č. 90/2012 </w:t>
      </w:r>
      <w:proofErr w:type="spellStart"/>
      <w:r w:rsidRPr="00272ED3">
        <w:t>Sb</w:t>
      </w:r>
      <w:proofErr w:type="spellEnd"/>
      <w:r>
        <w:t>, O obchodních korporacích</w:t>
      </w:r>
      <w:r w:rsidRPr="00272ED3">
        <w:t xml:space="preserve">. Ačkoliv by se tedy účastník zadávacího řízení mohl účastnit, neboť splňuje veškeré kvalifikační předpoklady pro to, aby veřejnou zakázku řádně a včas splnil a s ohledem na své schopnosti by byl objektivně schopen zakázku realizovat, s ohledem na povinnost jednat s péčí řádného hospodáře a rizika vyplývající ze zadávací dokumentace, může zakázku vyhodnotit jako tak rizikovou, že se o ni nemůže vůbec ucházet. To povede k omezení počtu nabídek a k dalšímu omezení hospodářské soutěže a ke zvýšení ceny případných nabídek. </w:t>
      </w:r>
    </w:p>
    <w:p w:rsidR="0012224A" w:rsidRPr="002B3FC0" w:rsidRDefault="0012224A" w:rsidP="00CC7F99">
      <w:pPr>
        <w:spacing w:line="240" w:lineRule="auto"/>
        <w:jc w:val="both"/>
      </w:pPr>
      <w:r w:rsidRPr="002B3FC0">
        <w:t xml:space="preserve">Absence předmětného mechanismu, resp. nepřiměřeně nastavené zadávací podmínky, tak fakticky účastníkům brání účastnit se zadávacího řízení.  </w:t>
      </w:r>
    </w:p>
    <w:p w:rsidR="0012224A" w:rsidRPr="00CC7F99" w:rsidRDefault="0012224A" w:rsidP="00CC7F99">
      <w:pPr>
        <w:spacing w:line="240" w:lineRule="auto"/>
        <w:jc w:val="both"/>
        <w:rPr>
          <w:bCs/>
        </w:rPr>
      </w:pPr>
      <w:r w:rsidRPr="00CC7F99">
        <w:rPr>
          <w:bCs/>
        </w:rPr>
        <w:t xml:space="preserve">S ohledem na výše uvedené Vás tímto žádáme o doplnění smluvní dokumentace o inflační či cenovou doložku, prostřednictvím které bude možné celkovou cenu, resp. jednotkové ceny položek stavebních prací, dodávek a služeb, navýšit o míru inflace, přičemž takové navýšení ceny bude možné vždy po uplynutí kalendářního čtvrtletí.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E2B1D" w:rsidRPr="00A8200C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A8200C" w:rsidRPr="00CC7F99" w:rsidRDefault="00A8200C" w:rsidP="00CC7F99">
      <w:pPr>
        <w:spacing w:line="240" w:lineRule="auto"/>
        <w:jc w:val="both"/>
        <w:rPr>
          <w:rFonts w:eastAsia="Calibri" w:cs="Times New Roman"/>
          <w:lang w:eastAsia="cs-CZ"/>
        </w:rPr>
      </w:pPr>
      <w:r w:rsidRPr="00CC7F99">
        <w:rPr>
          <w:rFonts w:cs="Arial"/>
        </w:rPr>
        <w:t xml:space="preserve">Zadavatel sleduje současnou situaci, včetně stanovisek Ministerstva pro místní rozvoj a Úřadu pro ochranu hospodářské soutěže, stejně jako </w:t>
      </w:r>
      <w:r w:rsidRPr="00CC7F99">
        <w:rPr>
          <w:rFonts w:eastAsia="Calibri" w:cs="Times New Roman"/>
          <w:lang w:eastAsia="cs-CZ"/>
        </w:rPr>
        <w:t xml:space="preserve">prognózy vývoje Ministerstva financí a České národní banky včetně její praktické měnové politiky a avizovaných možných opatření. </w:t>
      </w:r>
    </w:p>
    <w:p w:rsidR="00A8200C" w:rsidRPr="00CC7F99" w:rsidRDefault="00A8200C" w:rsidP="00CC7F99">
      <w:pPr>
        <w:spacing w:line="240" w:lineRule="auto"/>
        <w:jc w:val="both"/>
        <w:rPr>
          <w:rFonts w:eastAsia="Calibri" w:cs="Times New Roman"/>
          <w:lang w:eastAsia="cs-CZ"/>
        </w:rPr>
      </w:pPr>
      <w:r w:rsidRPr="00CC7F99">
        <w:rPr>
          <w:rFonts w:eastAsia="Calibri" w:cs="Times New Roman"/>
          <w:lang w:eastAsia="cs-CZ"/>
        </w:rPr>
        <w:t>Zadavatel neuvažuje nad doplněním inflační doložky, a to i s ohledem na předpokládanou dobu pro provedení díla a na okamžik zahájení předmětného výběrového řízení.</w:t>
      </w:r>
    </w:p>
    <w:p w:rsidR="00A8200C" w:rsidRPr="00CC7F99" w:rsidRDefault="00A8200C" w:rsidP="00CC7F9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7F99">
        <w:rPr>
          <w:rFonts w:eastAsia="Calibri" w:cs="Times New Roman"/>
          <w:lang w:eastAsia="cs-CZ"/>
        </w:rPr>
        <w:t>Zadavatel nebude zařazovat do smlouvy o dílo inflační doložku.</w:t>
      </w:r>
    </w:p>
    <w:p w:rsidR="00F83631" w:rsidRPr="003776EA" w:rsidRDefault="00F8363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B25E7" w:rsidRDefault="001B25E7" w:rsidP="00E73E5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3E55" w:rsidRPr="00CB7B5A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27</w:t>
      </w:r>
      <w:r w:rsidRPr="00CB7B5A">
        <w:rPr>
          <w:rFonts w:eastAsia="Calibri" w:cs="Times New Roman"/>
          <w:b/>
          <w:lang w:eastAsia="cs-CZ"/>
        </w:rPr>
        <w:t>: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0D1D">
        <w:rPr>
          <w:rFonts w:eastAsia="Calibri" w:cs="Times New Roman"/>
          <w:lang w:eastAsia="cs-CZ"/>
        </w:rPr>
        <w:t xml:space="preserve">V </w:t>
      </w:r>
      <w:proofErr w:type="gramStart"/>
      <w:r w:rsidRPr="00B70D1D">
        <w:rPr>
          <w:rFonts w:eastAsia="Calibri" w:cs="Times New Roman"/>
          <w:lang w:eastAsia="cs-CZ"/>
        </w:rPr>
        <w:t>objektu E.2.1</w:t>
      </w:r>
      <w:proofErr w:type="gramEnd"/>
      <w:r w:rsidRPr="00B70D1D">
        <w:rPr>
          <w:rFonts w:eastAsia="Calibri" w:cs="Times New Roman"/>
          <w:lang w:eastAsia="cs-CZ"/>
        </w:rPr>
        <w:t xml:space="preserve"> (Pozemní objekty) se nachází v oddílu 767 (Konstrukce zámečnické) položka č. 301 – Hliníková stěna. Rozměr stěny v soupisu prací neodpovídá rozměru uvedeném ve výpisu oken. Prosím o upřesnění rozměru.</w:t>
      </w:r>
    </w:p>
    <w:p w:rsidR="00E73E55" w:rsidRPr="00CB7B5A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3E55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E73E55" w:rsidRPr="00E73E55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3E55">
        <w:rPr>
          <w:rFonts w:eastAsia="Calibri" w:cs="Times New Roman"/>
          <w:lang w:eastAsia="cs-CZ"/>
        </w:rPr>
        <w:t>Správný rozměr hliníkové stěny v místnosti č. 1.12 (nový komerční prostor) je 5400x2400 mm (fixní část) + stěna fixní s dveřmi 1900x2400 mm vstup z haly (fix 900x2400 mm, dveře 1000x2400 mm), popis položky číslo 301 v díle 767 byl upraven v položkovém rozpočtu zveřejněném 8. 6. 2022.</w:t>
      </w:r>
    </w:p>
    <w:p w:rsidR="00E73E55" w:rsidRPr="00CB7B5A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3E55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0D1D">
        <w:rPr>
          <w:rFonts w:eastAsia="Calibri" w:cs="Times New Roman"/>
          <w:lang w:eastAsia="cs-CZ"/>
        </w:rPr>
        <w:t>Dle TZ: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70D1D">
        <w:rPr>
          <w:rFonts w:eastAsia="Calibri" w:cs="Times New Roman"/>
          <w:b/>
          <w:lang w:eastAsia="cs-CZ"/>
        </w:rPr>
        <w:t>Vystěhování bytů a uskladnění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0D1D">
        <w:rPr>
          <w:rFonts w:eastAsia="Calibri" w:cs="Times New Roman"/>
          <w:lang w:eastAsia="cs-CZ"/>
        </w:rPr>
        <w:t>Před započetím stavebních prací v jednotlivých bytech bude proved</w:t>
      </w:r>
      <w:r>
        <w:rPr>
          <w:rFonts w:eastAsia="Calibri" w:cs="Times New Roman"/>
          <w:lang w:eastAsia="cs-CZ"/>
        </w:rPr>
        <w:t xml:space="preserve">eno stěhování vybavení z bytů a </w:t>
      </w:r>
      <w:r w:rsidRPr="00B70D1D">
        <w:rPr>
          <w:rFonts w:eastAsia="Calibri" w:cs="Times New Roman"/>
          <w:lang w:eastAsia="cs-CZ"/>
        </w:rPr>
        <w:t>uskladnění vybavení v k tomu určených kontejnerech či v k tomu urč</w:t>
      </w:r>
      <w:r>
        <w:rPr>
          <w:rFonts w:eastAsia="Calibri" w:cs="Times New Roman"/>
          <w:lang w:eastAsia="cs-CZ"/>
        </w:rPr>
        <w:t xml:space="preserve">ených prostorech. Pro nájemníky </w:t>
      </w:r>
      <w:r w:rsidRPr="00B70D1D">
        <w:rPr>
          <w:rFonts w:eastAsia="Calibri" w:cs="Times New Roman"/>
          <w:lang w:eastAsia="cs-CZ"/>
        </w:rPr>
        <w:t>bytů bude po dobu rekonstrukce zajištěno náhradní ubytování po n</w:t>
      </w:r>
      <w:r>
        <w:rPr>
          <w:rFonts w:eastAsia="Calibri" w:cs="Times New Roman"/>
          <w:lang w:eastAsia="cs-CZ"/>
        </w:rPr>
        <w:t xml:space="preserve">ezbytně nutnou dobu – uvažováno </w:t>
      </w:r>
      <w:r w:rsidRPr="00B70D1D">
        <w:rPr>
          <w:rFonts w:eastAsia="Calibri" w:cs="Times New Roman"/>
          <w:lang w:eastAsia="cs-CZ"/>
        </w:rPr>
        <w:t>cca 2 měsíce/byt.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70D1D">
        <w:rPr>
          <w:rFonts w:eastAsia="Calibri" w:cs="Times New Roman"/>
          <w:b/>
          <w:lang w:eastAsia="cs-CZ"/>
        </w:rPr>
        <w:t>Vyklizení sklepních a půdních prostor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0D1D">
        <w:rPr>
          <w:rFonts w:eastAsia="Calibri" w:cs="Times New Roman"/>
          <w:lang w:eastAsia="cs-CZ"/>
        </w:rPr>
        <w:t>Před započetím prací budou vyklizeny sklepní a půdní prostory celého objektu.</w:t>
      </w: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73E55" w:rsidRPr="00B70D1D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70D1D">
        <w:rPr>
          <w:rFonts w:eastAsia="Calibri" w:cs="Times New Roman"/>
          <w:lang w:eastAsia="cs-CZ"/>
        </w:rPr>
        <w:t>Tyto činnosti nejsou uvedeny v soupise prací, domníváme se správně, že vyklízení sklepu a půdy, stěhování a náhradní ubytování zajistí investor a tyto činnosti nejsou předmětem zakázky?</w:t>
      </w:r>
    </w:p>
    <w:p w:rsidR="00E73E55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B25E7" w:rsidRPr="00CB7B5A" w:rsidRDefault="001B25E7" w:rsidP="00E73E5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73E55" w:rsidRDefault="00E73E55" w:rsidP="00E73E5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73E55" w:rsidRPr="00E73E55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3E55">
        <w:rPr>
          <w:rFonts w:eastAsia="Calibri" w:cs="Times New Roman"/>
          <w:lang w:eastAsia="cs-CZ"/>
        </w:rPr>
        <w:t xml:space="preserve">Vystěhování všech nájemníků proběhlo v měsíci 09/2021. Byty zůstanou volné po celou dobu rekonstrukce. Předání bytů do nájmu proběhne po kolaudaci. </w:t>
      </w:r>
    </w:p>
    <w:p w:rsidR="00E73E55" w:rsidRPr="00E73E55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3E55">
        <w:rPr>
          <w:rFonts w:eastAsia="Calibri" w:cs="Times New Roman"/>
          <w:lang w:eastAsia="cs-CZ"/>
        </w:rPr>
        <w:t>V rámci stavby OŘ byla v měsíci 11/2021 do kontejneru vystěhována „technologie“. V současnosti se v budově nachází pouze výpravčí a pokladní, mimo prostory dopravní kanceláře a pokladny je objekt prázdný.</w:t>
      </w:r>
    </w:p>
    <w:p w:rsidR="00E73E55" w:rsidRPr="00E73E55" w:rsidRDefault="00E73E55" w:rsidP="00E73E55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</w:p>
    <w:p w:rsidR="00E73E55" w:rsidRPr="00E73E55" w:rsidRDefault="00E73E55" w:rsidP="00E73E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3E55">
        <w:rPr>
          <w:rFonts w:eastAsia="Calibri" w:cs="Times New Roman"/>
          <w:lang w:eastAsia="cs-CZ"/>
        </w:rPr>
        <w:t>Náklady na vyklizení půdy a sklepů jsou uvedeny v položce číslo 351 v díle HZS v objektu E. 2.1 Stavební část.</w:t>
      </w:r>
    </w:p>
    <w:p w:rsidR="00CB7B5A" w:rsidRPr="003776E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E2B1D" w:rsidRDefault="00BE2B1D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B25E7" w:rsidRDefault="001B25E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BE2B1D" w:rsidRDefault="00483F34" w:rsidP="00BE2B1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E2B1D" w:rsidRPr="00BE2B1D" w:rsidRDefault="00CB7B5A" w:rsidP="00BE2B1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224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BE2B1D" w:rsidRPr="00CB7B5A" w:rsidRDefault="00BE2B1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E2B1D" w:rsidRDefault="00BE2B1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E2B1D" w:rsidRDefault="00BE2B1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E2B1D" w:rsidRPr="00CB7B5A" w:rsidRDefault="00BE2B1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D1E" w:rsidRDefault="00626D1E" w:rsidP="00962258">
      <w:pPr>
        <w:spacing w:after="0" w:line="240" w:lineRule="auto"/>
      </w:pPr>
      <w:r>
        <w:separator/>
      </w:r>
    </w:p>
  </w:endnote>
  <w:endnote w:type="continuationSeparator" w:id="0">
    <w:p w:rsidR="00626D1E" w:rsidRDefault="00626D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5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25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789C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61D18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5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25E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07735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AFE3D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D1E" w:rsidRDefault="00626D1E" w:rsidP="00962258">
      <w:pPr>
        <w:spacing w:after="0" w:line="240" w:lineRule="auto"/>
      </w:pPr>
      <w:r>
        <w:separator/>
      </w:r>
    </w:p>
  </w:footnote>
  <w:footnote w:type="continuationSeparator" w:id="0">
    <w:p w:rsidR="00626D1E" w:rsidRDefault="00626D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0E7036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9621EA4"/>
    <w:multiLevelType w:val="hybridMultilevel"/>
    <w:tmpl w:val="9C18B8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7972"/>
    <w:rsid w:val="00072C1E"/>
    <w:rsid w:val="000B1153"/>
    <w:rsid w:val="000B6C7E"/>
    <w:rsid w:val="000B7907"/>
    <w:rsid w:val="000C0429"/>
    <w:rsid w:val="000C45E8"/>
    <w:rsid w:val="00114472"/>
    <w:rsid w:val="0012224A"/>
    <w:rsid w:val="00170EC5"/>
    <w:rsid w:val="001747C1"/>
    <w:rsid w:val="0018596A"/>
    <w:rsid w:val="001A20A5"/>
    <w:rsid w:val="001B25E7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76EA"/>
    <w:rsid w:val="003956C6"/>
    <w:rsid w:val="003C5BE7"/>
    <w:rsid w:val="003D6B3F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6D1E"/>
    <w:rsid w:val="00660AD3"/>
    <w:rsid w:val="00693CB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202E7"/>
    <w:rsid w:val="00864562"/>
    <w:rsid w:val="00891334"/>
    <w:rsid w:val="00897DD9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13932"/>
    <w:rsid w:val="00A44328"/>
    <w:rsid w:val="00A6177B"/>
    <w:rsid w:val="00A66136"/>
    <w:rsid w:val="00A8200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E2B1D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C7F99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1D78"/>
    <w:rsid w:val="00DE56F2"/>
    <w:rsid w:val="00DF116D"/>
    <w:rsid w:val="00E73E55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3631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73496"/>
  <w14:defaultImageDpi w14:val="32767"/>
  <w15:docId w15:val="{F52C8940-3CC5-41FF-9C76-07A901FF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un">
    <w:name w:val="_Tučně"/>
    <w:basedOn w:val="Standardnpsmoodstavce"/>
    <w:qFormat/>
    <w:rsid w:val="001A20A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9B09BDF-FEDA-4136-809B-0BE7B09AB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</TotalTime>
  <Pages>4</Pages>
  <Words>1752</Words>
  <Characters>10339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2022-06-08T14:45:00Z</dcterms:created>
  <dcterms:modified xsi:type="dcterms:W3CDTF">2022-06-09T07:33:00Z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